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7E3B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5E0553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7D6600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7D6600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7D6600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74A68" w:rsidRDefault="00D66B7E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ALKOSEL</w:t>
            </w:r>
            <w:r w:rsidRPr="00D66B7E">
              <w:rPr>
                <w:rFonts w:ascii="Times New Roman" w:hAnsi="Times New Roman" w:cs="Times New Roman"/>
                <w:b/>
                <w:i/>
                <w:sz w:val="40"/>
                <w:szCs w:val="40"/>
                <w:vertAlign w:val="superscript"/>
                <w:lang w:val="de-DE"/>
              </w:rPr>
              <w:t>®</w:t>
            </w:r>
            <w:r w:rsidR="00474A68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R397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D6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D66B7E">
              <w:rPr>
                <w:rFonts w:ascii="Times-New-Roman" w:hAnsi="Times-New-Roman" w:cs="Times-New-Roman"/>
                <w:b/>
                <w:lang w:val="de-DE"/>
              </w:rPr>
              <w:t>1481</w:t>
            </w:r>
          </w:p>
          <w:p w:rsidR="00D66B7E" w:rsidRPr="00D66B7E" w:rsidRDefault="00D66B7E" w:rsidP="00D6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val="sr-Latn-RS"/>
              </w:rPr>
            </w:pPr>
            <w:r w:rsidRPr="00D66B7E">
              <w:rPr>
                <w:rFonts w:ascii="Times-New-Roman" w:hAnsi="Times-New-Roman" w:cs="Times-New-Roman"/>
                <w:b/>
                <w:i/>
                <w:lang w:val="de-DE"/>
              </w:rPr>
              <w:t>Opis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 w:rsidRPr="00D66B7E">
              <w:rPr>
                <w:rFonts w:ascii="Times-New-Roman" w:hAnsi="Times-New-Roman" w:cs="Times-New-Roman"/>
                <w:lang w:val="de-DE"/>
              </w:rPr>
              <w:t>Selenom obogaćeni organski kvasac (S.cerevisiae)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D66B7E" w:rsidP="00D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</w:t>
            </w:r>
            <w:r w:rsidR="00616BE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is</w:t>
            </w:r>
            <w:r w:rsidR="00616BE0">
              <w:rPr>
                <w:rFonts w:ascii="Times New Roman" w:hAnsi="Times New Roman" w:cs="Times New Roman"/>
                <w:lang w:val="sr-Latn-RS"/>
              </w:rPr>
              <w:t>hran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="00616BE0">
              <w:rPr>
                <w:rFonts w:ascii="Times New Roman" w:hAnsi="Times New Roman" w:cs="Times New Roman"/>
                <w:lang w:val="sr-Latn-RS"/>
              </w:rPr>
              <w:t xml:space="preserve"> životinj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 w:rsidR="00474A6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D66B7E">
        <w:trPr>
          <w:trHeight w:val="2115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4105AA" w:rsidRPr="00D66B7E" w:rsidRDefault="00D66B7E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B7E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D66B7E">
              <w:rPr>
                <w:rFonts w:ascii="Times New Roman" w:hAnsi="Times New Roman" w:cs="Times New Roman"/>
                <w:b/>
              </w:rPr>
              <w:t>Danske</w:t>
            </w:r>
            <w:proofErr w:type="spellEnd"/>
            <w:r w:rsidRPr="00D66B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66B7E">
              <w:rPr>
                <w:rFonts w:ascii="Times New Roman" w:hAnsi="Times New Roman" w:cs="Times New Roman"/>
                <w:b/>
              </w:rPr>
              <w:t>Gaerfabrikker</w:t>
            </w:r>
            <w:proofErr w:type="spellEnd"/>
            <w:r w:rsidRPr="00D66B7E">
              <w:rPr>
                <w:rFonts w:ascii="Times New Roman" w:hAnsi="Times New Roman" w:cs="Times New Roman"/>
                <w:b/>
              </w:rPr>
              <w:t xml:space="preserve"> A/S</w:t>
            </w:r>
          </w:p>
          <w:p w:rsidR="004105AA" w:rsidRPr="00815417" w:rsidRDefault="00D66B7E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Bredstrupvej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  <w:p w:rsidR="00FA3ED0" w:rsidRDefault="00D66B7E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Grenå</w:t>
            </w:r>
            <w:proofErr w:type="spellEnd"/>
            <w:r>
              <w:rPr>
                <w:rFonts w:ascii="Times New Roman" w:hAnsi="Times New Roman" w:cs="Times New Roman"/>
              </w:rPr>
              <w:t>, 8500, Denmark</w:t>
            </w:r>
          </w:p>
          <w:p w:rsidR="00D66B7E" w:rsidRDefault="00D66B7E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Osoba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marketing: </w:t>
            </w:r>
            <w:proofErr w:type="spellStart"/>
            <w:r>
              <w:rPr>
                <w:rFonts w:ascii="Times New Roman" w:hAnsi="Times New Roman" w:cs="Times New Roman"/>
              </w:rPr>
              <w:t>Lallemand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S.A.S</w:t>
            </w:r>
          </w:p>
          <w:p w:rsidR="00D66B7E" w:rsidRPr="00815417" w:rsidRDefault="00D66B7E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Osoba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MSDS:Lallemand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Animal Nutrition</w:t>
            </w:r>
          </w:p>
          <w:p w:rsidR="00D66B7E" w:rsidRDefault="00152071" w:rsidP="00D6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D66B7E">
              <w:rPr>
                <w:rFonts w:ascii="Times New Roman" w:hAnsi="Times New Roman" w:cs="Times New Roman"/>
                <w:lang w:val="de-DE"/>
              </w:rPr>
              <w:t>33 5 62 74 55 55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  <w:p w:rsidR="004105AA" w:rsidRPr="00815417" w:rsidRDefault="00481AAA" w:rsidP="00D6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815417">
              <w:rPr>
                <w:rFonts w:ascii="Times New Roman" w:hAnsi="Times New Roman" w:cs="Times New Roman"/>
                <w:b/>
                <w:lang w:val="sr-Latn-RS"/>
              </w:rPr>
              <w:t>e-mail adresa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: </w:t>
            </w:r>
            <w:r w:rsidR="00D66B7E">
              <w:rPr>
                <w:rFonts w:ascii="Times New Roman" w:hAnsi="Times New Roman" w:cs="Times New Roman"/>
                <w:b/>
                <w:lang w:val="sr-Latn-RS"/>
              </w:rPr>
              <w:t>/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124A6F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124A6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124A6F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124A6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124A6F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124A6F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124A6F" w:rsidRDefault="00A3582C" w:rsidP="00124A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>.:</w:t>
            </w:r>
            <w:r w:rsidR="00124A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L</w:t>
            </w:r>
            <w:r w:rsidR="00124A6F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124A6F" w:rsidP="00124A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C4D1B" w:rsidTr="00A73C84">
        <w:trPr>
          <w:trHeight w:val="45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371EB9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371EB9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474A68" w:rsidTr="00371EB9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16BE0" w:rsidRDefault="00474A68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616BE0" w:rsidRPr="00474A68" w:rsidRDefault="00616BE0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474A68" w:rsidRPr="00394137" w:rsidRDefault="0034636F" w:rsidP="003463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Simptomi prekomerne izloženosti prahu kvasca su dati preko puteva izloženosti, kao glavni simptomi dejstava.</w:t>
            </w:r>
          </w:p>
        </w:tc>
      </w:tr>
      <w:tr w:rsidR="00474A68" w:rsidTr="00371EB9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74A68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474A68" w:rsidRPr="00F4586F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474A68" w:rsidRPr="00394137" w:rsidRDefault="0034636F" w:rsidP="00474A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371EB9">
        <w:trPr>
          <w:trHeight w:val="55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371EB9">
        <w:trPr>
          <w:trHeight w:val="11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474A68" w:rsidRDefault="00A25630" w:rsidP="00474A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474A68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371EB9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74A68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371EB9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5D7F98" w:rsidRDefault="00A25630" w:rsidP="00371E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5D7F98">
              <w:rPr>
                <w:rFonts w:ascii="Times New Roman" w:hAnsi="Times New Roman" w:cs="Times New Roman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5D7F98" w:rsidRDefault="00A25630" w:rsidP="00371E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371EB9">
        <w:trPr>
          <w:trHeight w:val="40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5D7F98" w:rsidP="009A2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pojedinim slučajevima, ponovljena izloženost može dovesti do osetljivosti, zavis</w:t>
            </w:r>
            <w:r w:rsidR="009A2C98">
              <w:rPr>
                <w:rFonts w:ascii="Times-New-Roman" w:hAnsi="Times-New-Roman" w:cs="Times-New-Roman"/>
                <w:lang w:val="de-DE"/>
              </w:rPr>
              <w:t>no</w:t>
            </w:r>
            <w:r>
              <w:rPr>
                <w:rFonts w:ascii="Times-New-Roman" w:hAnsi="Times-New-Roman" w:cs="Times-New-Roman"/>
                <w:lang w:val="de-DE"/>
              </w:rPr>
              <w:t xml:space="preserve"> od nivoa izloženosti, trajanja izloženosti i praga osetljivosti pojedinca</w:t>
            </w:r>
            <w:r w:rsidR="00481AAA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Ponovljena hronična ili akutna izloženost kod osetljivih ljudi može izazvati reakciju pri disanju u nekoliko minuta ili odloženu rekaciju., ili oba.</w:t>
            </w:r>
            <w:r w:rsidR="009A2C98">
              <w:rPr>
                <w:rFonts w:ascii="Times-New-Roman" w:hAnsi="Times-New-Roman" w:cs="Times-New-Roman"/>
                <w:lang w:val="de-DE"/>
              </w:rPr>
              <w:t>T</w:t>
            </w:r>
            <w:r>
              <w:rPr>
                <w:rFonts w:ascii="Times-New-Roman" w:hAnsi="Times-New-Roman" w:cs="Times-New-Roman"/>
                <w:lang w:val="de-DE"/>
              </w:rPr>
              <w:t xml:space="preserve">ipični simptomi su iritacija respiratornih organa, ostajanje bez daha, kašalj, </w:t>
            </w:r>
            <w:r w:rsidR="009A2C98">
              <w:rPr>
                <w:rFonts w:ascii="Times-New-Roman" w:hAnsi="Times-New-Roman" w:cs="Times-New-Roman"/>
                <w:lang w:val="de-DE"/>
              </w:rPr>
              <w:t>stezanje u grudima i otežano disanje.</w:t>
            </w:r>
          </w:p>
        </w:tc>
      </w:tr>
      <w:tr w:rsidR="00A25630" w:rsidTr="00371EB9">
        <w:trPr>
          <w:trHeight w:val="37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9A2C98" w:rsidP="009A2C9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iritaciju pri produženom kontaktu</w:t>
            </w:r>
            <w:r w:rsidR="00474A6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371EB9">
        <w:trPr>
          <w:trHeight w:val="38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9A2C98" w:rsidP="009A2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iritaciju pri direktom kontaktu. Potražiti pomoć lekara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371EB9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Default="009A2C98" w:rsidP="003463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FDA preporučuje da se ne prekorači dnevni unos od 0.2 mg selena, što je ekvivalentno sa 100 mg Se kvasac ALKOSEL R397. Najmanja doza koja izaziva štetne efekte po zdravlje (</w:t>
            </w:r>
            <w:r w:rsidRPr="009A2C98">
              <w:rPr>
                <w:rFonts w:ascii="Times-New-Roman" w:hAnsi="Times-New-Roman" w:cs="Times-New-Roman"/>
                <w:lang w:val="de-DE"/>
              </w:rPr>
              <w:t>LOAEL</w:t>
            </w:r>
            <w:r>
              <w:rPr>
                <w:rFonts w:ascii="Times-New-Roman" w:hAnsi="Times-New-Roman" w:cs="Times-New-Roman"/>
                <w:lang w:val="de-DE"/>
              </w:rPr>
              <w:t>)</w:t>
            </w:r>
            <w:r w:rsidR="0034636F">
              <w:rPr>
                <w:rFonts w:ascii="Times-New-Roman" w:hAnsi="Times-New-Roman" w:cs="Times-New-Roman"/>
                <w:lang w:val="de-DE"/>
              </w:rPr>
              <w:t>, definisana kao prosečan dnevni unos selena koja kod pojedinaca može uzrokovati pojavu znakova toksičnosti, veruje se da je u opsegu  od 1540</w:t>
            </w:r>
            <w:r w:rsidR="0034636F">
              <w:rPr>
                <w:rFonts w:ascii="Times New Roman" w:hAnsi="Times New Roman" w:cs="Times New Roman"/>
                <w:lang w:val="de-DE"/>
              </w:rPr>
              <w:t>±653 mikrograma/danu</w:t>
            </w:r>
            <w:r w:rsidR="00474A68">
              <w:rPr>
                <w:rFonts w:ascii="Times-New-Roman" w:hAnsi="Times-New-Roman" w:cs="Times-New-Roman"/>
                <w:lang w:val="de-DE"/>
              </w:rPr>
              <w:t>.</w:t>
            </w:r>
          </w:p>
          <w:p w:rsidR="0034636F" w:rsidRPr="00394137" w:rsidRDefault="0034636F" w:rsidP="003463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Gutanje visoko koncentrovanog praha Se kvasca može prouzroko-vati povraćanje, glavobolju, mlitavost. Potražiti pomoć lekara.</w:t>
            </w:r>
          </w:p>
        </w:tc>
      </w:tr>
      <w:tr w:rsidR="00C00128" w:rsidTr="00A73C84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371EB9" w:rsidTr="00371EB9">
        <w:trPr>
          <w:trHeight w:val="55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1EB9" w:rsidRPr="00A4469C" w:rsidRDefault="00371EB9" w:rsidP="00371EB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Sastav proizvoda</w:t>
            </w: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1EB9" w:rsidRPr="00A4469C" w:rsidRDefault="00371EB9" w:rsidP="0075274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Alkosel R397 sa</w:t>
            </w:r>
            <w:r w:rsidR="00752740">
              <w:rPr>
                <w:rFonts w:ascii="Times-New-Roman" w:hAnsi="Times-New-Roman" w:cs="Times-New-Roman"/>
                <w:lang w:val="de-DE"/>
              </w:rPr>
              <w:t>dr</w:t>
            </w:r>
            <w:bookmarkStart w:id="0" w:name="_GoBack"/>
            <w:bookmarkEnd w:id="0"/>
            <w:r>
              <w:rPr>
                <w:rFonts w:ascii="Times-New-Roman" w:hAnsi="Times-New-Roman" w:cs="Times-New-Roman"/>
                <w:lang w:val="de-DE"/>
              </w:rPr>
              <w:t>ži 2000 ppm ukupnog selena, uglavnom u obliku selenometionina.</w:t>
            </w:r>
          </w:p>
        </w:tc>
      </w:tr>
      <w:tr w:rsidR="00371EB9" w:rsidTr="00371EB9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Opasni sastojci: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opasan pri normalnom rukovanju.</w:t>
            </w:r>
          </w:p>
        </w:tc>
      </w:tr>
      <w:tr w:rsidR="00371EB9" w:rsidTr="00371EB9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71EB9" w:rsidRDefault="00371EB9" w:rsidP="0039579F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Sadržaj selena:</w:t>
            </w:r>
          </w:p>
        </w:tc>
      </w:tr>
      <w:tr w:rsidR="00371EB9" w:rsidTr="00371EB9">
        <w:trPr>
          <w:trHeight w:val="50"/>
          <w:jc w:val="center"/>
        </w:trPr>
        <w:tc>
          <w:tcPr>
            <w:tcW w:w="487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Index-Nr (EC-Nr)</w:t>
            </w:r>
          </w:p>
        </w:tc>
        <w:tc>
          <w:tcPr>
            <w:tcW w:w="6133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034-002-00-8</w:t>
            </w:r>
          </w:p>
        </w:tc>
      </w:tr>
      <w:tr w:rsidR="00371EB9" w:rsidTr="00371EB9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Tokstičnost ukoliko se udahne ili proguta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R23/R25</w:t>
            </w:r>
          </w:p>
        </w:tc>
      </w:tr>
      <w:tr w:rsidR="00371EB9" w:rsidTr="0039579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Rizik od kupulativnog efekta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R33</w:t>
            </w:r>
          </w:p>
        </w:tc>
      </w:tr>
      <w:tr w:rsidR="0039579F" w:rsidTr="0039579F">
        <w:trPr>
          <w:trHeight w:val="50"/>
          <w:jc w:val="center"/>
        </w:trPr>
        <w:tc>
          <w:tcPr>
            <w:tcW w:w="11006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579F" w:rsidRPr="0039579F" w:rsidRDefault="0039579F" w:rsidP="00371E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10"/>
                <w:szCs w:val="10"/>
                <w:lang w:val="de-DE"/>
              </w:rPr>
            </w:pPr>
          </w:p>
        </w:tc>
      </w:tr>
    </w:tbl>
    <w:p w:rsidR="00371EB9" w:rsidRPr="002C21D4" w:rsidRDefault="00371EB9" w:rsidP="00371EB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371EB9" w:rsidRPr="002C21D4" w:rsidRDefault="00371EB9" w:rsidP="00371EB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71EB9" w:rsidRDefault="00371EB9" w:rsidP="00371EB9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A42C3A" w:rsidTr="0039579F">
        <w:trPr>
          <w:trHeight w:val="45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381D5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381D55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Ukoliko bilo koji simptom ostane potražiti pomoć lekara.</w:t>
            </w:r>
          </w:p>
        </w:tc>
      </w:tr>
      <w:tr w:rsidR="00A42C3A" w:rsidTr="00381D55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381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81D55">
              <w:rPr>
                <w:rFonts w:ascii="Times-New-Roman" w:hAnsi="Times-New-Roman" w:cs="Times-New-Roman"/>
              </w:rPr>
              <w:t>odmah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A42C3A" w:rsidTr="00381D55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381D55" w:rsidP="00381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Deo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koji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došao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kontakt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sapunom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381D55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381D55" w:rsidP="00381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Ispirati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najmanje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15</w:t>
            </w:r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minuta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A42C3A" w:rsidTr="00381D55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381D55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381D55" w:rsidTr="00381D55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1D55" w:rsidRPr="00A4469C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Medicinska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stanja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koja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mogu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pogoršati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izlaganju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1D55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Astma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381D55" w:rsidTr="00381D55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1D55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Odloženi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efekti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koji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mogu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očekivati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izlaganja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1D55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Nisu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poznati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381D5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73C84"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A42C3A" w:rsidTr="00381D55">
        <w:trPr>
          <w:trHeight w:val="12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381D55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381D55">
              <w:rPr>
                <w:rFonts w:ascii="Times-New-Roman" w:hAnsi="Times-New-Roman" w:cs="Times-New-Roman"/>
                <w:lang w:val="de-DE"/>
              </w:rPr>
              <w:t>vodu</w:t>
            </w:r>
            <w:r w:rsidR="00AD7EC8">
              <w:rPr>
                <w:rFonts w:ascii="Times-New-Roman" w:hAnsi="Times-New-Roman" w:cs="Times-New-Roman"/>
                <w:lang w:val="de-DE"/>
              </w:rPr>
              <w:t>, penu, ugljen dioksid</w:t>
            </w:r>
            <w:r w:rsidR="00381D55">
              <w:rPr>
                <w:rFonts w:ascii="Times-New-Roman" w:hAnsi="Times-New-Roman" w:cs="Times-New-Roman"/>
                <w:lang w:val="de-DE"/>
              </w:rPr>
              <w:t>, suvi prah</w:t>
            </w:r>
            <w:r w:rsidR="00AD7EC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AC1DDC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C1DDC" w:rsidRPr="00A4469C" w:rsidRDefault="00AC1DDC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C1DDC" w:rsidRPr="00A4469C" w:rsidRDefault="00AC1DDC" w:rsidP="00C839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aparat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respiratornih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organa</w:t>
            </w:r>
            <w:proofErr w:type="spellEnd"/>
            <w:r>
              <w:rPr>
                <w:rFonts w:ascii="Times-New-Roman" w:hAnsi="Times-New-Roman" w:cs="Times-New-Roman"/>
              </w:rPr>
              <w:t xml:space="preserve"> (SCBA) u </w:t>
            </w:r>
            <w:proofErr w:type="spellStart"/>
            <w:r>
              <w:rPr>
                <w:rFonts w:ascii="Times-New-Roman" w:hAnsi="Times-New-Roman" w:cs="Times-New-Roman"/>
              </w:rPr>
              <w:t>slučaju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požara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ograničenim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prostorima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DA39B3" w:rsidP="00DA39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A73C84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A39B3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DA39B3" w:rsidP="00984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slučaju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se </w:t>
            </w:r>
            <w:proofErr w:type="spellStart"/>
            <w:r>
              <w:rPr>
                <w:rFonts w:ascii="Times-New-Roman" w:hAnsi="Times-New-Roman" w:cs="Times-New-Roman"/>
              </w:rPr>
              <w:t>prospe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materijal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prvo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razrediti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 pa </w:t>
            </w:r>
            <w:proofErr w:type="spellStart"/>
            <w:r>
              <w:rPr>
                <w:rFonts w:ascii="Times-New-Roman" w:hAnsi="Times-New-Roman" w:cs="Times-New-Roman"/>
              </w:rPr>
              <w:t>onda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ukloniti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Sakupiti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otpad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pogodne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površinu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pod </w:t>
            </w:r>
            <w:proofErr w:type="spellStart"/>
            <w:r>
              <w:rPr>
                <w:rFonts w:ascii="Times-New-Roman" w:hAnsi="Times-New-Roman" w:cs="Times-New-Roman"/>
              </w:rPr>
              <w:t>velikim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pritiskom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odložiti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putem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kanalizacije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veoma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biorazgradljiv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Nisu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propisane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posebne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uklanjanju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984B49">
              <w:rPr>
                <w:rFonts w:ascii="Times-New-Roman" w:hAnsi="Times-New-Roman" w:cs="Times-New-Roman"/>
              </w:rPr>
              <w:t>osim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da se </w:t>
            </w:r>
            <w:proofErr w:type="spellStart"/>
            <w:r w:rsidR="00984B49">
              <w:rPr>
                <w:rFonts w:ascii="Times-New-Roman" w:hAnsi="Times-New-Roman" w:cs="Times-New-Roman"/>
              </w:rPr>
              <w:t>sa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84B49">
              <w:rPr>
                <w:rFonts w:ascii="Times-New-Roman" w:hAnsi="Times-New-Roman" w:cs="Times-New-Roman"/>
              </w:rPr>
              <w:t>otpadom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84B49">
              <w:rPr>
                <w:rFonts w:ascii="Times-New-Roman" w:hAnsi="Times-New-Roman" w:cs="Times-New-Roman"/>
              </w:rPr>
              <w:t>postupa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(</w:t>
            </w:r>
            <w:r w:rsidR="00984B49"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984B49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84B49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984B49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030C" w:rsidRPr="00ED030C" w:rsidRDefault="00984B49" w:rsidP="00984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udisanje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očima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kožom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odećom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opremu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opisanu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tački</w:t>
            </w:r>
            <w:proofErr w:type="spellEnd"/>
            <w:r>
              <w:rPr>
                <w:rFonts w:ascii="Times-New-Roman" w:hAnsi="Times-New-Roman" w:cs="Times-New-Roman"/>
              </w:rPr>
              <w:t xml:space="preserve"> 8.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proofErr w:type="gram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nalažu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uslovi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izlaganja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nakon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rukovanja</w:t>
            </w:r>
            <w:proofErr w:type="spellEnd"/>
          </w:p>
        </w:tc>
      </w:tr>
    </w:tbl>
    <w:p w:rsidR="00984B49" w:rsidRPr="002C21D4" w:rsidRDefault="00984B49" w:rsidP="00984B4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984B49" w:rsidRPr="002C21D4" w:rsidRDefault="00984B49" w:rsidP="00984B4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84B49" w:rsidRDefault="00984B49" w:rsidP="00984B49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984B49">
        <w:trPr>
          <w:trHeight w:val="117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lastRenderedPageBreak/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984B49" w:rsidP="00984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32224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22241" w:rsidRDefault="00F41802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  <w:p w:rsidR="00322241" w:rsidRPr="00322241" w:rsidRDefault="00322241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984B49" w:rsidP="00984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Preporučuju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suvi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uslovi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okoline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Kontejneri</w:t>
            </w:r>
            <w:proofErr w:type="spellEnd"/>
            <w:r>
              <w:rPr>
                <w:rFonts w:ascii="Times-New-Roman" w:hAnsi="Times-New-Roman" w:cs="Times-New-Roman"/>
              </w:rPr>
              <w:t xml:space="preserve"> bi </w:t>
            </w:r>
            <w:proofErr w:type="spellStart"/>
            <w:r>
              <w:rPr>
                <w:rFonts w:ascii="Times-New-Roman" w:hAnsi="Times-New-Roman" w:cs="Times-New-Roman"/>
              </w:rPr>
              <w:t>trebali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zapečaćeni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čuvani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suvom</w:t>
            </w:r>
            <w:proofErr w:type="spellEnd"/>
            <w:r>
              <w:rPr>
                <w:rFonts w:ascii="Times-New-Roman" w:hAnsi="Times-New-Roman" w:cs="Times-New-Roman"/>
              </w:rPr>
              <w:t xml:space="preserve"> 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proofErr w:type="gram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17B76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1472BC" w:rsidTr="0032224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3222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984B49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322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uslovima stvaranja velike prašine k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oristiti </w:t>
            </w:r>
            <w:r w:rsidR="00984B49">
              <w:rPr>
                <w:rFonts w:ascii="Times-New-Roman" w:hAnsi="Times-New-Roman" w:cs="Times-New-Roman"/>
                <w:lang w:val="de-DE"/>
              </w:rPr>
              <w:t xml:space="preserve">zaštitnu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masku </w:t>
            </w:r>
            <w:r w:rsidR="00984B49">
              <w:rPr>
                <w:rFonts w:ascii="Times-New-Roman" w:hAnsi="Times-New-Roman" w:cs="Times-New-Roman"/>
                <w:lang w:val="de-DE"/>
              </w:rPr>
              <w:t>kojoj je dodeljen zaštitni faktor od najmanje 20.</w:t>
            </w:r>
          </w:p>
        </w:tc>
      </w:tr>
      <w:tr w:rsidR="001472BC" w:rsidTr="00984B49">
        <w:trPr>
          <w:trHeight w:val="25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322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uslovima stvaranja velike prašine koristiti </w:t>
            </w:r>
            <w:r w:rsidR="008302DE">
              <w:rPr>
                <w:rFonts w:ascii="Times-New-Roman" w:hAnsi="Times-New-Roman" w:cs="Times-New-Roman"/>
                <w:lang w:val="de-DE"/>
              </w:rPr>
              <w:t>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Ukoliko dođe u kontakt sa očima isprati vodom.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322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pogodnu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industrijskom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praksom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što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tiče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sigurnosti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higijene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kada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rukuje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hranom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sastojcima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dijetetskih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suplemenata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materijalom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322241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9D120A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C74BD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3222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322241">
              <w:rPr>
                <w:rFonts w:ascii="Times-New-Roman" w:hAnsi="Times-New-Roman" w:cs="Times-New-Roman"/>
              </w:rPr>
              <w:t>čvrstom</w:t>
            </w:r>
            <w:proofErr w:type="spellEnd"/>
            <w:r w:rsidR="0032224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2241">
              <w:rPr>
                <w:rFonts w:ascii="Times-New-Roman" w:hAnsi="Times-New-Roman" w:cs="Times-New-Roman"/>
              </w:rPr>
              <w:t>obliku</w:t>
            </w:r>
            <w:proofErr w:type="spellEnd"/>
            <w:r w:rsidR="00322241"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 w:rsidR="00322241">
              <w:rPr>
                <w:rFonts w:ascii="Times-New-Roman" w:hAnsi="Times-New-Roman" w:cs="Times-New-Roman"/>
              </w:rPr>
              <w:t>p</w:t>
            </w:r>
            <w:r>
              <w:rPr>
                <w:rFonts w:ascii="Times-New-Roman" w:hAnsi="Times-New-Roman" w:cs="Times-New-Roman"/>
              </w:rPr>
              <w:t>rah</w:t>
            </w:r>
            <w:proofErr w:type="spellEnd"/>
            <w:r w:rsidR="00322241">
              <w:rPr>
                <w:rFonts w:ascii="Times-New-Roman" w:hAnsi="Times-New-Roman" w:cs="Times-New-Roman"/>
              </w:rPr>
              <w:t>)</w:t>
            </w:r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4BD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322241" w:rsidP="003222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Fin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proofErr w:type="spellEnd"/>
            <w:r>
              <w:rPr>
                <w:rFonts w:ascii="Times-New-Roman" w:hAnsi="Times-New-Roman" w:cs="Times-New-Roman"/>
              </w:rPr>
              <w:t xml:space="preserve"> do </w:t>
            </w:r>
            <w:proofErr w:type="spellStart"/>
            <w:r>
              <w:rPr>
                <w:rFonts w:ascii="Times-New-Roman" w:hAnsi="Times-New-Roman" w:cs="Times-New-Roman"/>
              </w:rPr>
              <w:t>granulisanog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mrko-žute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boje</w:t>
            </w:r>
            <w:proofErr w:type="spellEnd"/>
            <w:r w:rsidR="00010A9B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C74BD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322241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Na </w:t>
            </w:r>
            <w:proofErr w:type="spellStart"/>
            <w:r>
              <w:rPr>
                <w:rFonts w:ascii="Times-New-Roman" w:hAnsi="Times-New-Roman" w:cs="Times-New-Roman"/>
              </w:rPr>
              <w:t>kvasac</w:t>
            </w:r>
            <w:proofErr w:type="spellEnd"/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C74BDD" w:rsidP="00C74BD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4.8 (vodeni rastvor 10%)</w:t>
            </w:r>
          </w:p>
        </w:tc>
      </w:tr>
      <w:tr w:rsidR="00C74BDD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74BDD" w:rsidRPr="0095276B" w:rsidRDefault="00C74BDD" w:rsidP="00C74BD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Specifična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težina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DD" w:rsidRPr="0095276B" w:rsidRDefault="00C74BDD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74BDD" w:rsidRDefault="00C74BDD" w:rsidP="00C74BD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0.6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4BDD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C74BDD" w:rsidRPr="002C21D4" w:rsidRDefault="00C74BDD" w:rsidP="00C74B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74BDD" w:rsidRPr="002C21D4" w:rsidRDefault="00C74BDD" w:rsidP="00C74B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4BDD" w:rsidRDefault="00C74BDD" w:rsidP="00C74BDD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010A9B" w:rsidTr="00C74BDD">
        <w:trPr>
          <w:trHeight w:val="288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C74BDD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C74BDD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Delimično </w:t>
            </w:r>
            <w:r w:rsidR="009D120A"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7D66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C74BD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C74BD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C74BDD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Mešavina.</w:t>
            </w:r>
          </w:p>
        </w:tc>
      </w:tr>
      <w:tr w:rsidR="00F92024" w:rsidTr="00C74BD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226D78" w:rsidP="00C74BD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pri normalnim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uslovima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korišćenja</w:t>
            </w:r>
            <w:r w:rsidR="00C74BDD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 Nije reaktivan. Nisu naznačene nekompatibilnosti koje mogu dovesti do opasnosti. Vlaga i visoke temperature su štetne za mikrobiološku koncentraciju proizvoda.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C74BDD" w:rsidP="00C74B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visoku vlažnost</w:t>
            </w:r>
            <w:r w:rsidR="001C1FDB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9D120A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0E713B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0E713B" w:rsidRPr="002C21D4" w:rsidRDefault="000E713B" w:rsidP="000E713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0E713B" w:rsidRPr="002C21D4" w:rsidRDefault="000E713B" w:rsidP="000E713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E713B" w:rsidRDefault="000E713B" w:rsidP="000E713B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1C1FDB" w:rsidTr="000E713B">
        <w:trPr>
          <w:trHeight w:val="465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0E713B" w:rsidRDefault="001C1FDB" w:rsidP="000E71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Koža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    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0E713B" w:rsidRDefault="001C1FDB" w:rsidP="000E71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Oči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      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BC68B6" w:rsidP="00BC68B6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1C1FDB" w:rsidRPr="00AF4A87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0E713B" w:rsidRDefault="001C1FDB" w:rsidP="000E71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Disajni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putevi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0E713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0E713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0E713B">
        <w:trPr>
          <w:trHeight w:val="25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0E713B" w:rsidP="004F452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Moguća pojava senzibilizacije (videti tačku 2.)</w:t>
            </w:r>
          </w:p>
        </w:tc>
      </w:tr>
      <w:tr w:rsidR="000E713B" w:rsidTr="000E713B">
        <w:trPr>
          <w:trHeight w:val="25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E713B" w:rsidRPr="00A4469C" w:rsidRDefault="000E713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Alergijske reakcije: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E713B" w:rsidRDefault="000E713B" w:rsidP="000E71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Nepoznate, proizvod kvasca.</w:t>
            </w:r>
          </w:p>
        </w:tc>
      </w:tr>
      <w:tr w:rsidR="001C1FD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0E713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0E713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0E713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označen kao karcinogen ili potencijalno karcinogen prema NTP, IARC Monographs ili OSHA</w:t>
            </w:r>
          </w:p>
        </w:tc>
      </w:tr>
      <w:tr w:rsidR="001C1FDB" w:rsidTr="000E713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0E713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713B" w:rsidRPr="00A4469C" w:rsidRDefault="000E713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životnu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sredinu</w:t>
            </w:r>
            <w:proofErr w:type="spellEnd"/>
            <w:r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13B" w:rsidRPr="00A4469C" w:rsidRDefault="000E713B" w:rsidP="000E71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Zagađivač vodenih puteva. Ograničiti curenje zemljom ili peskom. Ukoliko proizvod dospe do vodenih puteva, odvodnog sistema ili kontaminira zemlju ili vegetativni svet u prekomernim količinama, obavestiti nadležne.</w:t>
            </w:r>
          </w:p>
        </w:tc>
      </w:tr>
      <w:tr w:rsidR="006812B4" w:rsidTr="000E713B">
        <w:trPr>
          <w:trHeight w:val="23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0E713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0E713B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0E713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8C0A4C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8C0A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0E713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0E713B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0E713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7D66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0E713B">
        <w:trPr>
          <w:trHeight w:val="3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0E713B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8C0A4C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8C0A4C" w:rsidRPr="002C21D4" w:rsidRDefault="008C0A4C" w:rsidP="008C0A4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8C0A4C" w:rsidRPr="002C21D4" w:rsidRDefault="008C0A4C" w:rsidP="008C0A4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0A4C" w:rsidRDefault="008C0A4C" w:rsidP="008C0A4C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94"/>
        <w:gridCol w:w="3059"/>
        <w:gridCol w:w="3073"/>
      </w:tblGrid>
      <w:tr w:rsidR="00E10F0B" w:rsidTr="008C0A4C">
        <w:trPr>
          <w:trHeight w:val="80"/>
          <w:jc w:val="center"/>
        </w:trPr>
        <w:tc>
          <w:tcPr>
            <w:tcW w:w="47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8C0A4C">
        <w:trPr>
          <w:trHeight w:val="70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8C0A4C">
        <w:trPr>
          <w:trHeight w:val="143"/>
          <w:jc w:val="center"/>
        </w:trPr>
        <w:tc>
          <w:tcPr>
            <w:tcW w:w="478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6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8C0A4C">
        <w:trPr>
          <w:trHeight w:val="107"/>
          <w:jc w:val="center"/>
        </w:trPr>
        <w:tc>
          <w:tcPr>
            <w:tcW w:w="478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6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8C0A4C">
        <w:trPr>
          <w:trHeight w:val="80"/>
          <w:jc w:val="center"/>
        </w:trPr>
        <w:tc>
          <w:tcPr>
            <w:tcW w:w="478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6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8C0A4C">
        <w:trPr>
          <w:trHeight w:val="80"/>
          <w:jc w:val="center"/>
        </w:trPr>
        <w:tc>
          <w:tcPr>
            <w:tcW w:w="47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0C57EE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034DC" w:rsidRDefault="000E713B" w:rsidP="009034DC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Usvojiti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navike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tako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</w:rPr>
              <w:t xml:space="preserve"> ne </w:t>
            </w:r>
            <w:proofErr w:type="spellStart"/>
            <w:r w:rsidR="008C0A4C">
              <w:rPr>
                <w:rFonts w:ascii="Times-New-Roman" w:hAnsi="Times-New-Roman" w:cs="Times-New-Roman"/>
              </w:rPr>
              <w:t>zagadi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životnu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sredinu</w:t>
            </w:r>
            <w:proofErr w:type="spellEnd"/>
            <w:r w:rsidR="008C0A4C">
              <w:rPr>
                <w:rFonts w:ascii="Times-New-Roman" w:hAnsi="Times-New-Roman" w:cs="Times-New-Roman"/>
              </w:rPr>
              <w:t>.</w:t>
            </w:r>
          </w:p>
          <w:p w:rsidR="00BC68B6" w:rsidRPr="00A4469C" w:rsidRDefault="009034DC" w:rsidP="009034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ekotoksikološki podaci.</w:t>
            </w:r>
            <w:r w:rsidR="000E713B">
              <w:rPr>
                <w:rFonts w:ascii="Times-New-Roman" w:hAnsi="Times-New-Roman" w:cs="Times-New-Roman"/>
                <w:lang w:val="de-DE"/>
              </w:rPr>
              <w:t xml:space="preserve"> Supstanca malo verovatno ima značajan efekat na životnu sredinu.</w:t>
            </w:r>
          </w:p>
        </w:tc>
      </w:tr>
      <w:tr w:rsidR="00BC68B6" w:rsidTr="00C01B9B">
        <w:trPr>
          <w:trHeight w:val="44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BC68B6" w:rsidTr="008C0A4C">
        <w:trPr>
          <w:trHeight w:val="70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7D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BC68B6" w:rsidP="007D66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BC68B6" w:rsidTr="008C0A4C">
        <w:trPr>
          <w:trHeight w:val="80"/>
          <w:jc w:val="center"/>
        </w:trPr>
        <w:tc>
          <w:tcPr>
            <w:tcW w:w="478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6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7D6600" w:rsidP="003200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8C0A4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8C0A4C">
        <w:trPr>
          <w:trHeight w:val="80"/>
          <w:jc w:val="center"/>
        </w:trPr>
        <w:tc>
          <w:tcPr>
            <w:tcW w:w="478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7D6600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C68B6" w:rsidRPr="00A4469C">
              <w:rPr>
                <w:rFonts w:ascii="Times-New-Roman" w:hAnsi="Times-New-Roman" w:cs="Times-New-Roman"/>
                <w:i/>
              </w:rPr>
              <w:t>ambalaža</w:t>
            </w:r>
            <w:proofErr w:type="spellEnd"/>
            <w:r w:rsidR="00BC68B6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6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8C0A4C" w:rsidP="0090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BC68B6" w:rsidTr="008C0A4C">
        <w:trPr>
          <w:trHeight w:val="80"/>
          <w:jc w:val="center"/>
        </w:trPr>
        <w:tc>
          <w:tcPr>
            <w:tcW w:w="47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BC68B6" w:rsidTr="00C01B9B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8C0A4C" w:rsidTr="008C0A4C">
        <w:trPr>
          <w:trHeight w:val="350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regulati-</w:t>
            </w:r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8C0A4C" w:rsidTr="008C0A4C">
        <w:trPr>
          <w:trHeight w:val="350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BC68B6" w:rsidTr="008C0A4C">
        <w:trPr>
          <w:trHeight w:val="180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Default="00BC68B6" w:rsidP="008C0A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</w:p>
        </w:tc>
      </w:tr>
      <w:tr w:rsidR="00BC68B6" w:rsidTr="008C0A4C">
        <w:trPr>
          <w:trHeight w:val="152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8C0A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</w:p>
        </w:tc>
      </w:tr>
      <w:tr w:rsidR="00BC68B6" w:rsidTr="008C0A4C">
        <w:trPr>
          <w:trHeight w:val="465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8C0A4C" w:rsidP="009034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8C0A4C" w:rsidRPr="00A4469C" w:rsidTr="008C0A4C">
        <w:trPr>
          <w:trHeight w:val="465"/>
          <w:jc w:val="center"/>
        </w:trPr>
        <w:tc>
          <w:tcPr>
            <w:tcW w:w="47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Kopneni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(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drumski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železnički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ADR, RID)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0A4C" w:rsidRPr="008C0A4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8C0A4C">
              <w:rPr>
                <w:rFonts w:ascii="Times-New-Roman" w:hAnsi="Times-New-Roman" w:cs="Times-New-Roman"/>
              </w:rPr>
              <w:t>Nema</w:t>
            </w:r>
            <w:proofErr w:type="spellEnd"/>
            <w:r w:rsidRPr="008C0A4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8C0A4C">
              <w:rPr>
                <w:rFonts w:ascii="Times-New-Roman" w:hAnsi="Times-New-Roman" w:cs="Times-New-Roman"/>
              </w:rPr>
              <w:t>ograničenja</w:t>
            </w:r>
            <w:proofErr w:type="spellEnd"/>
            <w:r w:rsidRPr="008C0A4C">
              <w:rPr>
                <w:rFonts w:ascii="Times-New-Roman" w:hAnsi="Times-New-Roman" w:cs="Times-New-Roman"/>
              </w:rPr>
              <w:t>.</w:t>
            </w:r>
          </w:p>
        </w:tc>
      </w:tr>
      <w:tr w:rsidR="008C0A4C" w:rsidRPr="00A4469C" w:rsidTr="007B20F7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0A4C" w:rsidRPr="008C0A4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Drumski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(ADR)</w:t>
            </w:r>
          </w:p>
        </w:tc>
      </w:tr>
      <w:tr w:rsidR="008C0A4C" w:rsidRPr="00A4469C" w:rsidTr="00E27141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8C0A4C" w:rsidRPr="00A4469C" w:rsidTr="00E27141">
        <w:trPr>
          <w:trHeight w:val="46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8C0A4C" w:rsidRPr="00A4469C" w:rsidTr="00E27141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8C0A4C" w:rsidRPr="00A4469C" w:rsidTr="00E27141">
        <w:trPr>
          <w:trHeight w:val="30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8C0A4C" w:rsidRPr="00A4469C" w:rsidTr="00E27141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8C0A4C" w:rsidRPr="00A4469C" w:rsidTr="00E27141">
        <w:trPr>
          <w:trHeight w:val="2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8C0A4C" w:rsidRPr="00A4469C" w:rsidTr="008C0A4C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8C0A4C" w:rsidRPr="00A4469C" w:rsidRDefault="008C0A4C" w:rsidP="00E271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</w:tbl>
    <w:p w:rsidR="008C0A4C" w:rsidRDefault="008C0A4C" w:rsidP="008C0A4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C0A4C" w:rsidRDefault="008C0A4C" w:rsidP="008C0A4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C0A4C" w:rsidRPr="002C21D4" w:rsidRDefault="008C0A4C" w:rsidP="008C0A4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8C0A4C" w:rsidRPr="002C21D4" w:rsidRDefault="008C0A4C" w:rsidP="008C0A4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0A4C" w:rsidRDefault="008C0A4C" w:rsidP="008C0A4C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3848"/>
        <w:gridCol w:w="2825"/>
      </w:tblGrid>
      <w:tr w:rsidR="002052E7" w:rsidTr="008C0A4C">
        <w:trPr>
          <w:trHeight w:val="2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2052E7" w:rsidTr="008C0A4C">
        <w:trPr>
          <w:trHeight w:val="197"/>
          <w:jc w:val="center"/>
        </w:trPr>
        <w:tc>
          <w:tcPr>
            <w:tcW w:w="433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8C0A4C">
        <w:trPr>
          <w:trHeight w:val="80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8C0A4C">
        <w:trPr>
          <w:trHeight w:val="657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313722" w:rsidP="00CE3A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CD6DDE">
              <w:rPr>
                <w:rFonts w:ascii="Times-New-Roman,Bold" w:hAnsi="Times-New-Roman,Bold" w:cs="Times-New-Roman,Bold"/>
                <w:b/>
                <w:bCs/>
              </w:rPr>
              <w:t>WHMIS</w:t>
            </w:r>
            <w:r w:rsidR="00CE3ACB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Default="00313722" w:rsidP="00CD6DD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</w:p>
          <w:p w:rsidR="00CD6DDE" w:rsidRPr="00744D42" w:rsidRDefault="00744D42" w:rsidP="00744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Proizvod</w:t>
            </w:r>
            <w:proofErr w:type="spellEnd"/>
            <w:r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n</w:t>
            </w:r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ije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regulisan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prema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WHMIS.</w:t>
            </w:r>
            <w:r w:rsidR="00673AFD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Proizvod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je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klasifikovan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prema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gram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NIH(</w:t>
            </w:r>
            <w:proofErr w:type="spellStart"/>
            <w:proofErr w:type="gram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Nacionalni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Institut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za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Zdravlje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, SAD),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spada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u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Grupu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rizika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I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ne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smatra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se da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podleže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kriterijum</w:t>
            </w:r>
            <w:r w:rsidRPr="00744D42">
              <w:rPr>
                <w:rFonts w:ascii="Times New Roman" w:hAnsi="Times New Roman" w:cs="Times New Roman"/>
                <w:bCs/>
                <w:lang w:val="en-GB"/>
              </w:rPr>
              <w:t>u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označavanja</w:t>
            </w:r>
            <w:proofErr w:type="spellEnd"/>
            <w:r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Kanadske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Regulative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Kontrolisanih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Proizvoda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za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biohazardni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infektivni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materijal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673AFD" w:rsidRPr="00744D42" w:rsidRDefault="00673AFD" w:rsidP="00744D42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Ovaj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proizvod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se ne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smatra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opasnim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materijalom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prema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standardu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za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opasne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materije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OSHA (</w:t>
            </w:r>
            <w:hyperlink r:id="rId9" w:history="1">
              <w:r w:rsidRPr="00744D42">
                <w:rPr>
                  <w:b w:val="0"/>
                  <w:sz w:val="22"/>
                  <w:szCs w:val="22"/>
                </w:rPr>
                <w:t>Occupational Safety and Health Administration</w:t>
              </w:r>
            </w:hyperlink>
            <w:r w:rsidRPr="00744D42">
              <w:rPr>
                <w:b w:val="0"/>
                <w:bCs w:val="0"/>
                <w:sz w:val="22"/>
                <w:szCs w:val="22"/>
              </w:rPr>
              <w:t>)</w:t>
            </w:r>
          </w:p>
          <w:p w:rsidR="00673AFD" w:rsidRPr="00744D42" w:rsidRDefault="00673AFD" w:rsidP="00744D42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Ovaj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proizvod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zahteva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registraciju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4D42">
              <w:rPr>
                <w:b w:val="0"/>
                <w:bCs w:val="0"/>
                <w:sz w:val="22"/>
                <w:szCs w:val="22"/>
              </w:rPr>
              <w:t>ili</w:t>
            </w:r>
            <w:proofErr w:type="spellEnd"/>
            <w:proofErr w:type="gram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Izveštaj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o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bezbednosti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hemikalije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po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Evropskoj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Regulativi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1907/2006.</w:t>
            </w:r>
          </w:p>
          <w:p w:rsidR="00673AFD" w:rsidRPr="00744D42" w:rsidRDefault="00673AFD" w:rsidP="00744D42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Ovaj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proizvod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je </w:t>
            </w:r>
            <w:proofErr w:type="spellStart"/>
            <w:proofErr w:type="gramStart"/>
            <w:r w:rsidRPr="00744D42">
              <w:rPr>
                <w:b w:val="0"/>
                <w:bCs w:val="0"/>
                <w:sz w:val="22"/>
                <w:szCs w:val="22"/>
              </w:rPr>
              <w:t>regulisan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Regulativom</w:t>
            </w:r>
            <w:proofErr w:type="spellEnd"/>
            <w:proofErr w:type="gramEnd"/>
            <w:r w:rsidRPr="00744D42">
              <w:rPr>
                <w:b w:val="0"/>
                <w:bCs w:val="0"/>
                <w:sz w:val="22"/>
                <w:szCs w:val="22"/>
              </w:rPr>
              <w:t xml:space="preserve"> (EC) N</w:t>
            </w:r>
            <w:r w:rsidRPr="00744D42">
              <w:rPr>
                <w:b w:val="0"/>
                <w:bCs w:val="0"/>
                <w:sz w:val="22"/>
                <w:szCs w:val="22"/>
                <w:vertAlign w:val="superscript"/>
              </w:rPr>
              <w:t>o</w:t>
            </w:r>
            <w:r w:rsidRPr="00744D42">
              <w:rPr>
                <w:b w:val="0"/>
                <w:bCs w:val="0"/>
                <w:sz w:val="22"/>
                <w:szCs w:val="22"/>
              </w:rPr>
              <w:t xml:space="preserve"> 1831/2003.</w:t>
            </w:r>
          </w:p>
          <w:p w:rsidR="00673AFD" w:rsidRPr="00673AFD" w:rsidRDefault="00673AFD" w:rsidP="00744D42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744D42">
              <w:rPr>
                <w:b w:val="0"/>
                <w:bCs w:val="0"/>
                <w:sz w:val="22"/>
                <w:szCs w:val="22"/>
              </w:rPr>
              <w:t>Ovaj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proizvod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sadrži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opasne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sastojke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  <w:proofErr w:type="gramEnd"/>
          </w:p>
          <w:p w:rsidR="00673AFD" w:rsidRPr="00CD6DDE" w:rsidRDefault="00673AFD" w:rsidP="00673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lang w:val="en-GB"/>
              </w:rPr>
            </w:pPr>
          </w:p>
        </w:tc>
      </w:tr>
      <w:tr w:rsidR="002052E7" w:rsidTr="008C0A4C">
        <w:trPr>
          <w:trHeight w:val="108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5C1BFE" w:rsidRDefault="00673AFD" w:rsidP="00213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2052E7" w:rsidTr="008C0A4C">
        <w:trPr>
          <w:trHeight w:val="80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5C1BFE" w:rsidRDefault="00673AFD" w:rsidP="005C1BFE">
            <w:pPr>
              <w:pStyle w:val="Default"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/</w:t>
            </w:r>
            <w:r w:rsidR="000C57EE" w:rsidRPr="005C1BFE">
              <w:rPr>
                <w:sz w:val="22"/>
                <w:szCs w:val="22"/>
              </w:rPr>
              <w:t xml:space="preserve"> </w:t>
            </w:r>
          </w:p>
        </w:tc>
      </w:tr>
      <w:tr w:rsidR="00394137" w:rsidTr="00673AFD">
        <w:trPr>
          <w:trHeight w:val="70"/>
          <w:jc w:val="center"/>
        </w:trPr>
        <w:tc>
          <w:tcPr>
            <w:tcW w:w="4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722" w:rsidRPr="005C1BFE" w:rsidRDefault="00673AFD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C57EE" w:rsidTr="00673AFD">
        <w:trPr>
          <w:trHeight w:val="70"/>
          <w:jc w:val="center"/>
        </w:trPr>
        <w:tc>
          <w:tcPr>
            <w:tcW w:w="4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57EE" w:rsidRPr="00A4469C" w:rsidRDefault="000C57EE" w:rsidP="00D66B7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57EE" w:rsidRPr="00C3539A" w:rsidRDefault="000C57EE" w:rsidP="00D66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673AFD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7E3BF8">
        <w:trPr>
          <w:trHeight w:val="28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9621A5" w:rsidRDefault="00D93E85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7566B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2C18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6600" w:rsidTr="00D66B7E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D6600" w:rsidRDefault="007D6600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D23F91">
        <w:trPr>
          <w:trHeight w:val="145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D23F9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744D42" w:rsidP="007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Ništa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sadržano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neće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predstavljati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garanciju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mogućnost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prodaje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određenu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U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odgovornosti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da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pregleda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ispita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kako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bi se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lično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uverio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konkretnu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koja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potrebna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44D42" w:rsidRDefault="00744D42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44D42" w:rsidRDefault="00744D42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44D42" w:rsidRDefault="00744D42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73AFD" w:rsidRDefault="00673AFD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7E3BF8" w:rsidP="007E3BF8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B5" w:rsidRDefault="004340B5" w:rsidP="005E0553">
      <w:pPr>
        <w:spacing w:after="0" w:line="240" w:lineRule="auto"/>
      </w:pPr>
      <w:r>
        <w:separator/>
      </w:r>
    </w:p>
  </w:endnote>
  <w:endnote w:type="continuationSeparator" w:id="0">
    <w:p w:rsidR="004340B5" w:rsidRDefault="004340B5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B5" w:rsidRDefault="004340B5" w:rsidP="005E0553">
      <w:pPr>
        <w:spacing w:after="0" w:line="240" w:lineRule="auto"/>
      </w:pPr>
      <w:r>
        <w:separator/>
      </w:r>
    </w:p>
  </w:footnote>
  <w:footnote w:type="continuationSeparator" w:id="0">
    <w:p w:rsidR="004340B5" w:rsidRDefault="004340B5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7E" w:rsidRDefault="00D66B7E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6B7E" w:rsidRPr="00D23B93" w:rsidRDefault="00D66B7E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C57EE"/>
    <w:rsid w:val="000E3E04"/>
    <w:rsid w:val="000E713B"/>
    <w:rsid w:val="000F2585"/>
    <w:rsid w:val="00117B76"/>
    <w:rsid w:val="00124A6F"/>
    <w:rsid w:val="0012537F"/>
    <w:rsid w:val="001327DF"/>
    <w:rsid w:val="001472BC"/>
    <w:rsid w:val="00147F3F"/>
    <w:rsid w:val="00152071"/>
    <w:rsid w:val="001637A7"/>
    <w:rsid w:val="001C1FDB"/>
    <w:rsid w:val="001F4CB2"/>
    <w:rsid w:val="002052E7"/>
    <w:rsid w:val="00212EDD"/>
    <w:rsid w:val="002131A3"/>
    <w:rsid w:val="00226D78"/>
    <w:rsid w:val="00234156"/>
    <w:rsid w:val="00264501"/>
    <w:rsid w:val="00266788"/>
    <w:rsid w:val="0027011F"/>
    <w:rsid w:val="002866E7"/>
    <w:rsid w:val="002A36C3"/>
    <w:rsid w:val="002B13B9"/>
    <w:rsid w:val="002B2697"/>
    <w:rsid w:val="002C1860"/>
    <w:rsid w:val="002C1ECB"/>
    <w:rsid w:val="002C21D4"/>
    <w:rsid w:val="002C36FB"/>
    <w:rsid w:val="002C5053"/>
    <w:rsid w:val="002C7808"/>
    <w:rsid w:val="00313722"/>
    <w:rsid w:val="00320058"/>
    <w:rsid w:val="00322241"/>
    <w:rsid w:val="0032758A"/>
    <w:rsid w:val="00335A8D"/>
    <w:rsid w:val="00342B59"/>
    <w:rsid w:val="0034636F"/>
    <w:rsid w:val="00351689"/>
    <w:rsid w:val="00356F05"/>
    <w:rsid w:val="00371EB9"/>
    <w:rsid w:val="00381D55"/>
    <w:rsid w:val="0038518E"/>
    <w:rsid w:val="00394137"/>
    <w:rsid w:val="0039538E"/>
    <w:rsid w:val="0039579F"/>
    <w:rsid w:val="003B3B37"/>
    <w:rsid w:val="003F131A"/>
    <w:rsid w:val="004068D3"/>
    <w:rsid w:val="004105AA"/>
    <w:rsid w:val="00422A41"/>
    <w:rsid w:val="00432C12"/>
    <w:rsid w:val="004340B5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4A68"/>
    <w:rsid w:val="00481AAA"/>
    <w:rsid w:val="00481C81"/>
    <w:rsid w:val="00492C24"/>
    <w:rsid w:val="004D5E78"/>
    <w:rsid w:val="004F3654"/>
    <w:rsid w:val="004F452C"/>
    <w:rsid w:val="00506C8A"/>
    <w:rsid w:val="00511916"/>
    <w:rsid w:val="005148B0"/>
    <w:rsid w:val="005252C9"/>
    <w:rsid w:val="00536A1D"/>
    <w:rsid w:val="005377C2"/>
    <w:rsid w:val="00571B50"/>
    <w:rsid w:val="00577E8A"/>
    <w:rsid w:val="0058094D"/>
    <w:rsid w:val="00582B9B"/>
    <w:rsid w:val="00593C16"/>
    <w:rsid w:val="005979D5"/>
    <w:rsid w:val="005B1B79"/>
    <w:rsid w:val="005B3CA4"/>
    <w:rsid w:val="005C1966"/>
    <w:rsid w:val="005C1BFE"/>
    <w:rsid w:val="005D0B13"/>
    <w:rsid w:val="005D7F98"/>
    <w:rsid w:val="005E0553"/>
    <w:rsid w:val="005F0560"/>
    <w:rsid w:val="005F462A"/>
    <w:rsid w:val="00607DA6"/>
    <w:rsid w:val="006164A0"/>
    <w:rsid w:val="00616BE0"/>
    <w:rsid w:val="00617AA1"/>
    <w:rsid w:val="00625111"/>
    <w:rsid w:val="006351DF"/>
    <w:rsid w:val="0063635E"/>
    <w:rsid w:val="0063796F"/>
    <w:rsid w:val="006558E6"/>
    <w:rsid w:val="006669A8"/>
    <w:rsid w:val="00673AFD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44D42"/>
    <w:rsid w:val="007518B9"/>
    <w:rsid w:val="00752740"/>
    <w:rsid w:val="007543CD"/>
    <w:rsid w:val="00761065"/>
    <w:rsid w:val="007746FC"/>
    <w:rsid w:val="00794AD3"/>
    <w:rsid w:val="007A37AC"/>
    <w:rsid w:val="007D59BC"/>
    <w:rsid w:val="007D61B6"/>
    <w:rsid w:val="007D6600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05C8"/>
    <w:rsid w:val="00872636"/>
    <w:rsid w:val="00884F14"/>
    <w:rsid w:val="008865EA"/>
    <w:rsid w:val="008938DD"/>
    <w:rsid w:val="008962A9"/>
    <w:rsid w:val="008A5D51"/>
    <w:rsid w:val="008C0A4C"/>
    <w:rsid w:val="008C114A"/>
    <w:rsid w:val="008C30B3"/>
    <w:rsid w:val="008D0B78"/>
    <w:rsid w:val="008E49CB"/>
    <w:rsid w:val="00902FC3"/>
    <w:rsid w:val="009034DC"/>
    <w:rsid w:val="00917F6A"/>
    <w:rsid w:val="009309C6"/>
    <w:rsid w:val="009359FB"/>
    <w:rsid w:val="0095276B"/>
    <w:rsid w:val="009621A5"/>
    <w:rsid w:val="009634D6"/>
    <w:rsid w:val="00965765"/>
    <w:rsid w:val="00976A59"/>
    <w:rsid w:val="00980C6D"/>
    <w:rsid w:val="00981B20"/>
    <w:rsid w:val="00984B49"/>
    <w:rsid w:val="009A04C5"/>
    <w:rsid w:val="009A2C98"/>
    <w:rsid w:val="009D120A"/>
    <w:rsid w:val="00A00327"/>
    <w:rsid w:val="00A06873"/>
    <w:rsid w:val="00A123E5"/>
    <w:rsid w:val="00A25630"/>
    <w:rsid w:val="00A3582C"/>
    <w:rsid w:val="00A35FBB"/>
    <w:rsid w:val="00A3622A"/>
    <w:rsid w:val="00A42C3A"/>
    <w:rsid w:val="00A508F7"/>
    <w:rsid w:val="00A714B7"/>
    <w:rsid w:val="00A73C84"/>
    <w:rsid w:val="00A84B29"/>
    <w:rsid w:val="00AA298C"/>
    <w:rsid w:val="00AA3358"/>
    <w:rsid w:val="00AB5BA7"/>
    <w:rsid w:val="00AC1DDC"/>
    <w:rsid w:val="00AD7EC8"/>
    <w:rsid w:val="00AF32D1"/>
    <w:rsid w:val="00B12957"/>
    <w:rsid w:val="00B50CEA"/>
    <w:rsid w:val="00B60E28"/>
    <w:rsid w:val="00B924FE"/>
    <w:rsid w:val="00BC22EF"/>
    <w:rsid w:val="00BC68B6"/>
    <w:rsid w:val="00BD7015"/>
    <w:rsid w:val="00BD7869"/>
    <w:rsid w:val="00BE2459"/>
    <w:rsid w:val="00BE6FBF"/>
    <w:rsid w:val="00C00128"/>
    <w:rsid w:val="00C01B9B"/>
    <w:rsid w:val="00C2169A"/>
    <w:rsid w:val="00C3539A"/>
    <w:rsid w:val="00C44762"/>
    <w:rsid w:val="00C464FB"/>
    <w:rsid w:val="00C54609"/>
    <w:rsid w:val="00C57663"/>
    <w:rsid w:val="00C656DC"/>
    <w:rsid w:val="00C72846"/>
    <w:rsid w:val="00C742EB"/>
    <w:rsid w:val="00C74BDD"/>
    <w:rsid w:val="00C7566B"/>
    <w:rsid w:val="00C979C4"/>
    <w:rsid w:val="00CB461D"/>
    <w:rsid w:val="00CC32B9"/>
    <w:rsid w:val="00CD6DDE"/>
    <w:rsid w:val="00CE3ACB"/>
    <w:rsid w:val="00D03287"/>
    <w:rsid w:val="00D104E8"/>
    <w:rsid w:val="00D23B93"/>
    <w:rsid w:val="00D23F91"/>
    <w:rsid w:val="00D32554"/>
    <w:rsid w:val="00D51D00"/>
    <w:rsid w:val="00D5451D"/>
    <w:rsid w:val="00D552F8"/>
    <w:rsid w:val="00D62DE6"/>
    <w:rsid w:val="00D66B7E"/>
    <w:rsid w:val="00D93E85"/>
    <w:rsid w:val="00DA295D"/>
    <w:rsid w:val="00DA39B3"/>
    <w:rsid w:val="00DC46A9"/>
    <w:rsid w:val="00DC4F00"/>
    <w:rsid w:val="00DE1DB1"/>
    <w:rsid w:val="00DE34B9"/>
    <w:rsid w:val="00DF194B"/>
    <w:rsid w:val="00E10F0B"/>
    <w:rsid w:val="00E13312"/>
    <w:rsid w:val="00E21BDC"/>
    <w:rsid w:val="00E34D54"/>
    <w:rsid w:val="00E5128F"/>
    <w:rsid w:val="00E57744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EF7255"/>
    <w:rsid w:val="00F103C0"/>
    <w:rsid w:val="00F41802"/>
    <w:rsid w:val="00F4586F"/>
    <w:rsid w:val="00F6115B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73AFD"/>
    <w:rPr>
      <w:i/>
      <w:iCs/>
    </w:rPr>
  </w:style>
  <w:style w:type="character" w:customStyle="1" w:styleId="apple-converted-space">
    <w:name w:val="apple-converted-space"/>
    <w:basedOn w:val="DefaultParagraphFont"/>
    <w:rsid w:val="0067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73AFD"/>
    <w:rPr>
      <w:i/>
      <w:iCs/>
    </w:rPr>
  </w:style>
  <w:style w:type="character" w:customStyle="1" w:styleId="apple-converted-space">
    <w:name w:val="apple-converted-space"/>
    <w:basedOn w:val="DefaultParagraphFont"/>
    <w:rsid w:val="0067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h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53F0-E5A0-4855-B15F-DD30292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13</cp:revision>
  <dcterms:created xsi:type="dcterms:W3CDTF">2012-12-27T08:36:00Z</dcterms:created>
  <dcterms:modified xsi:type="dcterms:W3CDTF">2013-01-09T12:19:00Z</dcterms:modified>
</cp:coreProperties>
</file>